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3246"/>
        <w:gridCol w:w="4824"/>
        <w:gridCol w:w="2268"/>
      </w:tblGrid>
      <w:tr w:rsidR="00A23F48" w:rsidRPr="0049302E" w14:paraId="30920A1D" w14:textId="77777777" w:rsidTr="166658FF">
        <w:trPr>
          <w:trHeight w:val="2805"/>
        </w:trPr>
        <w:tc>
          <w:tcPr>
            <w:tcW w:w="3246" w:type="dxa"/>
            <w:shd w:val="clear" w:color="auto" w:fill="FFEFFF"/>
          </w:tcPr>
          <w:p w14:paraId="78D908C9" w14:textId="363D5039" w:rsidR="008E39B4" w:rsidRPr="0049302E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9302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4BEB5871" w:rsidR="008E39B4" w:rsidRPr="007C572D" w:rsidRDefault="00D56ADC" w:rsidP="00D56AD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In Unit 8, you will be learning about how companies recruit and you will take part in, and reflect on, a recruitment process that you will go through yourself to demonstrate best practice. </w:t>
            </w:r>
            <w:r w:rsidR="1E6838D4" w:rsidRPr="00B645FB">
              <w:rPr>
                <w:color w:val="000000" w:themeColor="text1"/>
              </w:rPr>
              <w:t xml:space="preserve"> </w:t>
            </w:r>
          </w:p>
        </w:tc>
        <w:tc>
          <w:tcPr>
            <w:tcW w:w="4824" w:type="dxa"/>
            <w:shd w:val="clear" w:color="auto" w:fill="FFEFFF"/>
          </w:tcPr>
          <w:p w14:paraId="191A053B" w14:textId="77777777" w:rsidR="008E39B4" w:rsidRPr="0049302E" w:rsidRDefault="008E39B4" w:rsidP="003F12D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9302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2E6B6282" w:rsidR="008E39B4" w:rsidRPr="007C572D" w:rsidRDefault="009604A8" w:rsidP="009604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Unit 8 is tau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ght in Year 13 as the second coursework unit. </w:t>
            </w:r>
            <w:r w:rsidR="001079A6">
              <w:rPr>
                <w:color w:val="000000" w:themeColor="text1"/>
              </w:rPr>
              <w:t xml:space="preserve">It is taught in the second year as students can use the experience they get from this unit to prepare themselves for potential interview when they leave school or for university courses. </w:t>
            </w:r>
            <w:r w:rsidR="006E1CF6">
              <w:rPr>
                <w:color w:val="000000" w:themeColor="text1"/>
              </w:rPr>
              <w:t xml:space="preserve">Students will also have more experience and be able to document more eloquently their competencies and experience that would make them more suitable for the job.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278052ED" w:rsidR="008E39B4" w:rsidRDefault="008E39B4" w:rsidP="003F12D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9302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 w:rsidRPr="0049302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1C3804BE" w14:textId="77777777" w:rsidR="000D4F26" w:rsidRDefault="002C7CF9" w:rsidP="00892070">
            <w:pPr>
              <w:rPr>
                <w:color w:val="000000" w:themeColor="text1"/>
                <w:sz w:val="20"/>
                <w:szCs w:val="20"/>
              </w:rPr>
            </w:pPr>
            <w:r w:rsidRPr="002C7CF9">
              <w:rPr>
                <w:color w:val="000000" w:themeColor="text1"/>
                <w:sz w:val="20"/>
                <w:szCs w:val="20"/>
              </w:rPr>
              <w:t>Workforce Planning</w:t>
            </w:r>
          </w:p>
          <w:p w14:paraId="29EABD7B" w14:textId="504B1E49" w:rsidR="002C7CF9" w:rsidRDefault="002C7CF9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Recruitment and Selection process</w:t>
            </w:r>
          </w:p>
          <w:p w14:paraId="3E8BBA3D" w14:textId="77777777" w:rsidR="002C7CF9" w:rsidRDefault="002C7CF9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Job Analysis</w:t>
            </w:r>
          </w:p>
          <w:p w14:paraId="137D300B" w14:textId="77777777" w:rsidR="002C7CF9" w:rsidRDefault="002C7CF9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Job Advert</w:t>
            </w:r>
          </w:p>
          <w:p w14:paraId="16AC0F15" w14:textId="77777777" w:rsidR="002C7CF9" w:rsidRDefault="002C7CF9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Job Description</w:t>
            </w:r>
          </w:p>
          <w:p w14:paraId="364322FB" w14:textId="77777777" w:rsidR="002C7CF9" w:rsidRDefault="002C7CF9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CV / Application Form</w:t>
            </w:r>
          </w:p>
          <w:p w14:paraId="333EF856" w14:textId="77777777" w:rsidR="002C7CF9" w:rsidRDefault="002C7CF9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Application letter</w:t>
            </w:r>
          </w:p>
          <w:p w14:paraId="6DBECCF0" w14:textId="77777777" w:rsidR="002C7CF9" w:rsidRDefault="002C7CF9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Online recruitment</w:t>
            </w:r>
          </w:p>
          <w:p w14:paraId="5D31AADB" w14:textId="77777777" w:rsidR="002C7CF9" w:rsidRDefault="002C7CF9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Assessment Centres</w:t>
            </w:r>
          </w:p>
          <w:p w14:paraId="3F999CCE" w14:textId="77777777" w:rsidR="002C7CF9" w:rsidRDefault="002C7CF9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Psychometric Testing</w:t>
            </w:r>
          </w:p>
          <w:p w14:paraId="35A25AA5" w14:textId="77777777" w:rsidR="00892070" w:rsidRDefault="00892070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Interview Protocol</w:t>
            </w:r>
          </w:p>
          <w:p w14:paraId="02D4A01A" w14:textId="5765A282" w:rsidR="00892070" w:rsidRDefault="00892070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Screening</w:t>
            </w:r>
          </w:p>
          <w:p w14:paraId="71184671" w14:textId="563274F6" w:rsidR="00892070" w:rsidRDefault="00892070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Equality Act</w:t>
            </w:r>
          </w:p>
          <w:p w14:paraId="68BDD775" w14:textId="2B42EC79" w:rsidR="00892070" w:rsidRDefault="00892070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Employment Act</w:t>
            </w:r>
          </w:p>
          <w:p w14:paraId="4176AA89" w14:textId="53D86C73" w:rsidR="00892070" w:rsidRDefault="00892070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National Minimum Wage / The Living Wage</w:t>
            </w:r>
          </w:p>
          <w:p w14:paraId="30C56C5E" w14:textId="7319FCDA" w:rsidR="00892070" w:rsidRDefault="00892070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European Working Time Directive</w:t>
            </w:r>
          </w:p>
          <w:p w14:paraId="4706251D" w14:textId="186E1CF0" w:rsidR="00892070" w:rsidRDefault="00892070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Equal Pay Act </w:t>
            </w:r>
          </w:p>
          <w:p w14:paraId="5358CEDF" w14:textId="1B0C5CD9" w:rsidR="00892070" w:rsidRDefault="00892070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GDPR 1998</w:t>
            </w:r>
          </w:p>
          <w:p w14:paraId="4452BE28" w14:textId="5E18B76E" w:rsidR="00892070" w:rsidRDefault="00892070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DBS Checks</w:t>
            </w:r>
          </w:p>
          <w:p w14:paraId="7541E70D" w14:textId="228FA061" w:rsidR="00892070" w:rsidRDefault="00892070" w:rsidP="008920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Pre-Employment Checks </w:t>
            </w:r>
          </w:p>
          <w:p w14:paraId="3F542804" w14:textId="4170C7B3" w:rsidR="00892070" w:rsidRDefault="00892070" w:rsidP="00892070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  <w:p w14:paraId="49147324" w14:textId="2A8D1E6A" w:rsidR="00892070" w:rsidRPr="002C7CF9" w:rsidRDefault="00892070" w:rsidP="1E6838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E39B4" w:rsidRPr="0049302E" w14:paraId="70713B32" w14:textId="77777777" w:rsidTr="00892070">
        <w:trPr>
          <w:trHeight w:val="5488"/>
        </w:trPr>
        <w:tc>
          <w:tcPr>
            <w:tcW w:w="8070" w:type="dxa"/>
            <w:gridSpan w:val="2"/>
            <w:shd w:val="clear" w:color="auto" w:fill="FFEFFF"/>
          </w:tcPr>
          <w:p w14:paraId="67810B4E" w14:textId="63D45648" w:rsidR="008E39B4" w:rsidRPr="0049302E" w:rsidRDefault="008E39B4" w:rsidP="000D4F26">
            <w:pPr>
              <w:spacing w:after="0"/>
              <w:rPr>
                <w:b/>
                <w:bCs/>
                <w:color w:val="522A5B"/>
                <w:sz w:val="24"/>
                <w:szCs w:val="24"/>
                <w:u w:val="single"/>
              </w:rPr>
            </w:pPr>
            <w:r w:rsidRPr="1E6838D4">
              <w:rPr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16A3773" w14:textId="46780792" w:rsidR="002C7CF9" w:rsidRPr="002C7CF9" w:rsidRDefault="002C7CF9" w:rsidP="002C7C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 xml:space="preserve">Learners explore how the recruitment process is carried out in a business. The unit gives learners the opportunity to participate in selection interviews and review their performance. </w:t>
            </w:r>
            <w:r w:rsidRPr="009F5BDE">
              <w:rPr>
                <w:rFonts w:cstheme="minorHAnsi"/>
              </w:rPr>
              <w:t>Recruiting the right people is essential to the success of a business. It is important that the processes and procedures involved in recruitment and selection meet the needs of the business and comply with current regulations.</w:t>
            </w:r>
            <w:r>
              <w:rPr>
                <w:rFonts w:cstheme="minorHAnsi"/>
              </w:rPr>
              <w:t xml:space="preserve"> </w:t>
            </w:r>
            <w:r w:rsidRPr="009F5BDE">
              <w:rPr>
                <w:rFonts w:cstheme="minorHAnsi"/>
              </w:rPr>
              <w:t>This unit gives students the opportunity, through role-play, to take part in selection interviews. Students will need to be organised and prepared so that they demonstrate communication skills in this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</w:t>
            </w:r>
            <w:r w:rsidRPr="009F5BDE">
              <w:rPr>
                <w:rFonts w:cstheme="minorHAnsi"/>
              </w:rPr>
              <w:t>ork-related competence.</w:t>
            </w:r>
            <w:r>
              <w:rPr>
                <w:rFonts w:cstheme="minorHAnsi"/>
              </w:rPr>
              <w:t xml:space="preserve"> </w:t>
            </w:r>
            <w:r w:rsidRPr="001C3D13">
              <w:rPr>
                <w:rFonts w:cstheme="minorHAnsi"/>
              </w:rPr>
              <w:t>. They will have an opportunity to review individual performance and analyse skills for development thus allowing a reflective practice that can be improved or worked on.</w:t>
            </w:r>
          </w:p>
          <w:p w14:paraId="0D81A314" w14:textId="53A61BEE" w:rsidR="5FCF793F" w:rsidRDefault="002C7CF9" w:rsidP="00077018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unit is broken down into 3</w:t>
            </w:r>
            <w:r w:rsidR="1E6838D4" w:rsidRPr="166658FF">
              <w:rPr>
                <w:rFonts w:ascii="Calibri" w:eastAsia="Calibri" w:hAnsi="Calibri" w:cs="Calibri"/>
              </w:rPr>
              <w:t xml:space="preserve"> Learning Aims a</w:t>
            </w:r>
            <w:r w:rsidR="000D4F26">
              <w:rPr>
                <w:rFonts w:ascii="Calibri" w:eastAsia="Calibri" w:hAnsi="Calibri" w:cs="Calibri"/>
              </w:rPr>
              <w:t xml:space="preserve">cross three </w:t>
            </w:r>
            <w:r w:rsidR="1E6838D4" w:rsidRPr="166658FF">
              <w:rPr>
                <w:rFonts w:ascii="Calibri" w:eastAsia="Calibri" w:hAnsi="Calibri" w:cs="Calibri"/>
              </w:rPr>
              <w:t xml:space="preserve">assignments: </w:t>
            </w:r>
          </w:p>
          <w:p w14:paraId="4F0BE6AA" w14:textId="649AB1A9" w:rsidR="00BF777F" w:rsidRDefault="1E6838D4" w:rsidP="00BF777F">
            <w:pPr>
              <w:pStyle w:val="NoSpacing"/>
              <w:rPr>
                <w:b/>
                <w:bCs/>
              </w:rPr>
            </w:pPr>
            <w:r w:rsidRPr="00BF777F">
              <w:rPr>
                <w:b/>
                <w:bCs/>
              </w:rPr>
              <w:t>Learning Aim A</w:t>
            </w:r>
            <w:r w:rsidRPr="00BF777F">
              <w:t xml:space="preserve"> – Ex</w:t>
            </w:r>
            <w:r w:rsidR="002C7CF9">
              <w:t>amine how effective recruitment and selection contribute to business success</w:t>
            </w:r>
            <w:r w:rsidRPr="00BF777F">
              <w:rPr>
                <w:b/>
                <w:bCs/>
              </w:rPr>
              <w:t xml:space="preserve"> </w:t>
            </w:r>
          </w:p>
          <w:p w14:paraId="1181D416" w14:textId="1E7E3B39" w:rsidR="00BF777F" w:rsidRDefault="1E6838D4" w:rsidP="00BF777F">
            <w:pPr>
              <w:pStyle w:val="NoSpacing"/>
            </w:pPr>
            <w:r w:rsidRPr="00BF777F">
              <w:rPr>
                <w:b/>
                <w:bCs/>
              </w:rPr>
              <w:t>Learning Aim B</w:t>
            </w:r>
            <w:r w:rsidRPr="00BF777F">
              <w:t xml:space="preserve"> –</w:t>
            </w:r>
            <w:r w:rsidR="002C7CF9">
              <w:t xml:space="preserve"> Undertake a recruitment activity to demonstrate the processes leading to a successful job offer</w:t>
            </w:r>
            <w:r w:rsidRPr="00BF777F">
              <w:t xml:space="preserve"> </w:t>
            </w:r>
          </w:p>
          <w:p w14:paraId="704CD9BE" w14:textId="2A38FDC9" w:rsidR="008E39B4" w:rsidRPr="0049302E" w:rsidRDefault="1E6838D4" w:rsidP="00BF777F">
            <w:pPr>
              <w:pStyle w:val="NoSpacing"/>
            </w:pPr>
            <w:r w:rsidRPr="00BF777F">
              <w:rPr>
                <w:b/>
                <w:bCs/>
              </w:rPr>
              <w:t>Learning Aim C</w:t>
            </w:r>
            <w:r w:rsidR="002C7CF9">
              <w:t xml:space="preserve"> – Reflect on the recruitment and selection process and your individual performance</w:t>
            </w:r>
          </w:p>
        </w:tc>
        <w:tc>
          <w:tcPr>
            <w:tcW w:w="2268" w:type="dxa"/>
            <w:vMerge/>
          </w:tcPr>
          <w:p w14:paraId="4F4A4CCD" w14:textId="77777777" w:rsidR="008E39B4" w:rsidRPr="0049302E" w:rsidRDefault="008E39B4" w:rsidP="003F12D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49302E" w14:paraId="41DD1A54" w14:textId="77777777" w:rsidTr="002C7CF9">
        <w:trPr>
          <w:trHeight w:val="1459"/>
        </w:trPr>
        <w:tc>
          <w:tcPr>
            <w:tcW w:w="8070" w:type="dxa"/>
            <w:gridSpan w:val="2"/>
            <w:shd w:val="clear" w:color="auto" w:fill="FFEFFF"/>
          </w:tcPr>
          <w:p w14:paraId="1758388D" w14:textId="6ED38EC4" w:rsidR="008E39B4" w:rsidRPr="0049302E" w:rsidRDefault="008E39B4" w:rsidP="000D4F26">
            <w:pPr>
              <w:spacing w:after="0"/>
              <w:rPr>
                <w:b/>
                <w:bCs/>
                <w:color w:val="522A5B"/>
                <w:sz w:val="24"/>
                <w:szCs w:val="24"/>
                <w:u w:val="single"/>
              </w:rPr>
            </w:pPr>
            <w:r w:rsidRPr="1E6838D4">
              <w:rPr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48B84594" w:rsidR="008E39B4" w:rsidRPr="0049302E" w:rsidRDefault="002C7CF9" w:rsidP="000D4F2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There is a hug opportunity here for students to practice real life interview skills that will give students a foundation for progression to employment or to higher education. Through interviews, students will develop the skills and competencies needed in an interview situation. </w:t>
            </w:r>
          </w:p>
        </w:tc>
        <w:tc>
          <w:tcPr>
            <w:tcW w:w="2268" w:type="dxa"/>
            <w:vMerge/>
          </w:tcPr>
          <w:p w14:paraId="20C1B22D" w14:textId="77777777" w:rsidR="008E39B4" w:rsidRPr="0049302E" w:rsidRDefault="008E39B4" w:rsidP="003F12D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49302E" w14:paraId="08B85AF4" w14:textId="77777777" w:rsidTr="166658FF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4CF6F6C0" w14:textId="494E0E90" w:rsidR="00811F13" w:rsidRPr="0049302E" w:rsidRDefault="009B0C21" w:rsidP="000D4F26">
            <w:pPr>
              <w:spacing w:after="0"/>
              <w:rPr>
                <w:b/>
                <w:bCs/>
                <w:color w:val="461E64"/>
                <w:sz w:val="24"/>
                <w:szCs w:val="24"/>
                <w:u w:val="single"/>
              </w:rPr>
            </w:pPr>
            <w:r w:rsidRPr="1E6838D4">
              <w:rPr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6FB793D0" w:rsidR="00811F13" w:rsidRPr="0049302E" w:rsidRDefault="002C7CF9" w:rsidP="000D4F26">
            <w:pPr>
              <w:spacing w:after="0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Unit 8</w:t>
            </w:r>
            <w:r w:rsidR="1E6838D4" w:rsidRPr="166658FF">
              <w:rPr>
                <w:rFonts w:ascii="Calibri" w:eastAsia="Calibri" w:hAnsi="Calibri" w:cs="Calibri"/>
              </w:rPr>
              <w:t xml:space="preserve"> is assessed internally through the creation of three assignments. A</w:t>
            </w:r>
            <w:r w:rsidR="1E6838D4" w:rsidRPr="166658FF">
              <w:rPr>
                <w:noProof/>
                <w:color w:val="000000" w:themeColor="text1"/>
              </w:rPr>
              <w:t>ssignments are graded on a Pass, Merit, Distinction scale and the 3</w:t>
            </w:r>
            <w:r w:rsidR="000D4F26">
              <w:rPr>
                <w:noProof/>
                <w:color w:val="000000" w:themeColor="text1"/>
              </w:rPr>
              <w:t xml:space="preserve"> assignments together form the U</w:t>
            </w:r>
            <w:r w:rsidR="1E6838D4" w:rsidRPr="166658FF">
              <w:rPr>
                <w:noProof/>
                <w:color w:val="000000" w:themeColor="text1"/>
              </w:rPr>
              <w:t xml:space="preserve">nit 1 mark that is put forward to the exam board to go towards the overall final BTEC grade made </w:t>
            </w:r>
            <w:r w:rsidR="000D4F26">
              <w:rPr>
                <w:noProof/>
                <w:color w:val="000000" w:themeColor="text1"/>
              </w:rPr>
              <w:t>up from the four</w:t>
            </w:r>
            <w:r w:rsidR="1E6838D4" w:rsidRPr="166658FF">
              <w:rPr>
                <w:noProof/>
                <w:color w:val="000000" w:themeColor="text1"/>
              </w:rPr>
              <w:t xml:space="preserve"> different units together. </w:t>
            </w:r>
          </w:p>
        </w:tc>
        <w:tc>
          <w:tcPr>
            <w:tcW w:w="2268" w:type="dxa"/>
            <w:vMerge/>
          </w:tcPr>
          <w:p w14:paraId="048BF811" w14:textId="77777777" w:rsidR="008E39B4" w:rsidRPr="0049302E" w:rsidRDefault="008E39B4" w:rsidP="003F12D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3F12D9" w:rsidRDefault="003F12D9" w:rsidP="008E39B4"/>
    <w:sectPr w:rsidR="003F12D9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8B0BD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15FCE8F4" w14:textId="77777777" w:rsidR="002B0167" w:rsidRDefault="002B0167" w:rsidP="00017B74">
      <w:pPr>
        <w:spacing w:after="0" w:line="240" w:lineRule="auto"/>
      </w:pPr>
      <w:r>
        <w:continuationSeparator/>
      </w:r>
    </w:p>
  </w:endnote>
  <w:endnote w:type="continuationNotice" w:id="1">
    <w:p w14:paraId="5EE92C92" w14:textId="77777777" w:rsidR="001068A3" w:rsidRDefault="001068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C8867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4AE0569D" w14:textId="77777777" w:rsidR="002B0167" w:rsidRDefault="002B0167" w:rsidP="00017B74">
      <w:pPr>
        <w:spacing w:after="0" w:line="240" w:lineRule="auto"/>
      </w:pPr>
      <w:r>
        <w:continuationSeparator/>
      </w:r>
    </w:p>
  </w:footnote>
  <w:footnote w:type="continuationNotice" w:id="1">
    <w:p w14:paraId="6F35E0D7" w14:textId="77777777" w:rsidR="001068A3" w:rsidRDefault="001068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43B43"/>
    <w:rsid w:val="00064B72"/>
    <w:rsid w:val="0007415F"/>
    <w:rsid w:val="00077018"/>
    <w:rsid w:val="000C52B9"/>
    <w:rsid w:val="000D4F26"/>
    <w:rsid w:val="001068A3"/>
    <w:rsid w:val="001079A6"/>
    <w:rsid w:val="001E054D"/>
    <w:rsid w:val="002B0167"/>
    <w:rsid w:val="002C7CF9"/>
    <w:rsid w:val="0034119B"/>
    <w:rsid w:val="00342C31"/>
    <w:rsid w:val="003E6B6F"/>
    <w:rsid w:val="003F12D9"/>
    <w:rsid w:val="00403DD6"/>
    <w:rsid w:val="00440E6C"/>
    <w:rsid w:val="00477E85"/>
    <w:rsid w:val="0048201A"/>
    <w:rsid w:val="00487E07"/>
    <w:rsid w:val="0049033B"/>
    <w:rsid w:val="0049302E"/>
    <w:rsid w:val="004A6A82"/>
    <w:rsid w:val="00543586"/>
    <w:rsid w:val="00585FE2"/>
    <w:rsid w:val="005E07F8"/>
    <w:rsid w:val="005F4E99"/>
    <w:rsid w:val="006B2688"/>
    <w:rsid w:val="006E1CF6"/>
    <w:rsid w:val="007146EF"/>
    <w:rsid w:val="00720479"/>
    <w:rsid w:val="007B4949"/>
    <w:rsid w:val="007C572D"/>
    <w:rsid w:val="007D5133"/>
    <w:rsid w:val="007D592F"/>
    <w:rsid w:val="00811F13"/>
    <w:rsid w:val="0081788F"/>
    <w:rsid w:val="0083335D"/>
    <w:rsid w:val="00847F4E"/>
    <w:rsid w:val="00867D25"/>
    <w:rsid w:val="00892070"/>
    <w:rsid w:val="008B1952"/>
    <w:rsid w:val="008E39B4"/>
    <w:rsid w:val="00902D62"/>
    <w:rsid w:val="009160B8"/>
    <w:rsid w:val="0095456E"/>
    <w:rsid w:val="009604A8"/>
    <w:rsid w:val="00994E35"/>
    <w:rsid w:val="009B0C21"/>
    <w:rsid w:val="009E02CA"/>
    <w:rsid w:val="009F1DCF"/>
    <w:rsid w:val="00A23F48"/>
    <w:rsid w:val="00A314F1"/>
    <w:rsid w:val="00AD04A3"/>
    <w:rsid w:val="00B0424D"/>
    <w:rsid w:val="00B12F16"/>
    <w:rsid w:val="00B238B2"/>
    <w:rsid w:val="00B645FB"/>
    <w:rsid w:val="00BA3A99"/>
    <w:rsid w:val="00BA646E"/>
    <w:rsid w:val="00BC7E2B"/>
    <w:rsid w:val="00BF777F"/>
    <w:rsid w:val="00C46615"/>
    <w:rsid w:val="00C81BB2"/>
    <w:rsid w:val="00C83F51"/>
    <w:rsid w:val="00CA59AB"/>
    <w:rsid w:val="00D23221"/>
    <w:rsid w:val="00D56ADC"/>
    <w:rsid w:val="00DA7774"/>
    <w:rsid w:val="00DB0006"/>
    <w:rsid w:val="00DC23A5"/>
    <w:rsid w:val="00E5371A"/>
    <w:rsid w:val="00F43D58"/>
    <w:rsid w:val="00F9765D"/>
    <w:rsid w:val="00FB7D5A"/>
    <w:rsid w:val="00FE1C68"/>
    <w:rsid w:val="023A620B"/>
    <w:rsid w:val="05F638CC"/>
    <w:rsid w:val="07939CC4"/>
    <w:rsid w:val="0E57AF48"/>
    <w:rsid w:val="145EAF4E"/>
    <w:rsid w:val="15FA7FAF"/>
    <w:rsid w:val="166658FF"/>
    <w:rsid w:val="16D1C141"/>
    <w:rsid w:val="16F47458"/>
    <w:rsid w:val="17FE918E"/>
    <w:rsid w:val="1BC48B7C"/>
    <w:rsid w:val="1CB8DA54"/>
    <w:rsid w:val="1D175E47"/>
    <w:rsid w:val="1E6838D4"/>
    <w:rsid w:val="1E7D3CE9"/>
    <w:rsid w:val="218C4B77"/>
    <w:rsid w:val="270D1D40"/>
    <w:rsid w:val="2AF8D136"/>
    <w:rsid w:val="2C6C4C46"/>
    <w:rsid w:val="2CEFB8F7"/>
    <w:rsid w:val="2D97F936"/>
    <w:rsid w:val="2E081CA7"/>
    <w:rsid w:val="326B6A59"/>
    <w:rsid w:val="34073ABA"/>
    <w:rsid w:val="365C2C22"/>
    <w:rsid w:val="3FC1FE58"/>
    <w:rsid w:val="40456B09"/>
    <w:rsid w:val="40F1C302"/>
    <w:rsid w:val="435679D1"/>
    <w:rsid w:val="44254C0A"/>
    <w:rsid w:val="468A332E"/>
    <w:rsid w:val="48160DD3"/>
    <w:rsid w:val="490A5CAB"/>
    <w:rsid w:val="4968E09E"/>
    <w:rsid w:val="4A948D8E"/>
    <w:rsid w:val="4C41FD6D"/>
    <w:rsid w:val="4D28389C"/>
    <w:rsid w:val="4DC611CA"/>
    <w:rsid w:val="52C0A8C8"/>
    <w:rsid w:val="55E8DFB3"/>
    <w:rsid w:val="5EBCECB0"/>
    <w:rsid w:val="5F2D1021"/>
    <w:rsid w:val="5FCF793F"/>
    <w:rsid w:val="602A2C62"/>
    <w:rsid w:val="64D58C34"/>
    <w:rsid w:val="68BACA0A"/>
    <w:rsid w:val="69A8FD57"/>
    <w:rsid w:val="6BAD0F36"/>
    <w:rsid w:val="6CB1CF97"/>
    <w:rsid w:val="70A13B32"/>
    <w:rsid w:val="73AAA4EA"/>
    <w:rsid w:val="76135647"/>
    <w:rsid w:val="77A6EAA6"/>
    <w:rsid w:val="79C4B0C7"/>
    <w:rsid w:val="7BC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3D1FD1"/>
  <w15:chartTrackingRefBased/>
  <w15:docId w15:val="{1BDAD80F-65B2-4164-9B79-136A74BD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BF7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E217280FDA4F915D3F45A704C5C9" ma:contentTypeVersion="14" ma:contentTypeDescription="Create a new document." ma:contentTypeScope="" ma:versionID="76b4ffd767525774c64e5bfc22892fe0">
  <xsd:schema xmlns:xsd="http://www.w3.org/2001/XMLSchema" xmlns:xs="http://www.w3.org/2001/XMLSchema" xmlns:p="http://schemas.microsoft.com/office/2006/metadata/properties" xmlns:ns3="35818081-bca2-4bd4-854d-6ba26da810c3" xmlns:ns4="3e044cb3-0846-4a39-8369-da1e000195f9" targetNamespace="http://schemas.microsoft.com/office/2006/metadata/properties" ma:root="true" ma:fieldsID="cb5681a617fa6bab85727ba5d07cf10a" ns3:_="" ns4:_="">
    <xsd:import namespace="35818081-bca2-4bd4-854d-6ba26da810c3"/>
    <xsd:import namespace="3e044cb3-0846-4a39-8369-da1e000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1-bca2-4bd4-854d-6ba26da8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4cb3-0846-4a39-8369-da1e000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3e044cb3-0846-4a39-8369-da1e000195f9"/>
    <ds:schemaRef ds:uri="35818081-bca2-4bd4-854d-6ba26da810c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542246-A212-4266-8DAC-B1A7F4384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8081-bca2-4bd4-854d-6ba26da810c3"/>
    <ds:schemaRef ds:uri="3e044cb3-0846-4a39-8369-da1e000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11</cp:revision>
  <dcterms:created xsi:type="dcterms:W3CDTF">2022-06-06T13:44:00Z</dcterms:created>
  <dcterms:modified xsi:type="dcterms:W3CDTF">2022-06-14T08:51:00Z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0x0101004B3CE217280FDA4F915D3F45A704C5C9</vt:lpwstr>
  </property>
</Properties>
</file>